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345" w:firstLine="567"/>
        <w:jc w:val="right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345" w:firstLine="567"/>
        <w:jc w:val="right"/>
      </w:pP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2-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Агзямова Р.В.,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«Расчетно-кассовый центр жилищно-коммунального хозяйства города Нефтеюганска»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Арбузовой Ольге Валериевне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коммунальных услуг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ст.ст.194-199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акционерного общества «Расчетно-кассовый центр жилищно-коммунального хозяйства города Нефтеюганска» 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Арбузовой Ольг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Валериевн</w:t>
      </w:r>
      <w:r>
        <w:rPr>
          <w:rFonts w:ascii="Times New Roman" w:eastAsia="Times New Roman" w:hAnsi="Times New Roman" w:cs="Times New Roman"/>
          <w:sz w:val="28"/>
          <w:szCs w:val="28"/>
        </w:rPr>
        <w:t>ы (</w:t>
      </w:r>
      <w:r>
        <w:rPr>
          <w:rStyle w:val="cat-PassportDatagrp-1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акционерного общества «Расчетно-кассовый центр жилищно-коммунального хозяйства города Нефтеюганска» (ИНН 8604039887) задолженность по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несвоевременную оплату коммунальных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обращению с твердыми коммунальными отходами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26.06.2022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30.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руб., расходы по оплате государственной пошлины в размере 4000 руб.,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9000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в остальной части отказать.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Подлинник </w:t>
      </w:r>
      <w:r>
        <w:rPr>
          <w:rFonts w:ascii="Times New Roman" w:eastAsia="Times New Roman" w:hAnsi="Times New Roman" w:cs="Times New Roman"/>
          <w:sz w:val="20"/>
          <w:szCs w:val="20"/>
        </w:rPr>
        <w:t>находится в судебном участке № 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Нефтеюганского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района ХМАО-Югры, в деле № 2</w:t>
      </w:r>
      <w:r>
        <w:rPr>
          <w:rFonts w:ascii="Times New Roman" w:eastAsia="Times New Roman" w:hAnsi="Times New Roman" w:cs="Times New Roman"/>
          <w:sz w:val="20"/>
          <w:szCs w:val="20"/>
        </w:rPr>
        <w:t>-13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год. «Решение не вступило в законную силу» </w:t>
      </w: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</w:p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20rplc-19">
    <w:name w:val="cat-UserDefined grp-2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